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"/>
        <w:spacing w:before="40" w:after="0"/>
        <w:rPr>
          <w:rFonts w:ascii="Arial" w:hAnsi="Arial"/>
        </w:rPr>
      </w:pPr>
      <w:bookmarkStart w:id="0" w:name="_3g05s0if3zel"/>
      <w:bookmarkEnd w:id="0"/>
      <w:r>
        <w:rPr>
          <w:rFonts w:ascii="Arial" w:hAnsi="Arial"/>
        </w:rPr>
        <w:t>Приложение 4.2.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color w:val="000000"/>
        </w:rPr>
        <w:t>Пример Технического задания для разработки проектно-сметной документации.</w:t>
      </w:r>
    </w:p>
    <w:p>
      <w:pPr>
        <w:pStyle w:val="NormalWeb"/>
        <w:shd w:val="clear" w:color="auto" w:fill="FFFFFF"/>
        <w:spacing w:lineRule="auto" w:line="276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Техническое задание на разработку проектно-сметной документации благоустройства общественной территории, расположенной на по адресу: </w:t>
      </w:r>
      <w:r>
        <w:rPr>
          <w:rFonts w:cs="Arial" w:ascii="Arial" w:hAnsi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hd w:val="clear" w:color="auto" w:fill="FFFFFF"/>
        <w:spacing w:lineRule="auto" w:line="276"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9315" w:type="dxa"/>
        <w:jc w:val="left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622"/>
        <w:gridCol w:w="2093"/>
        <w:gridCol w:w="6600"/>
      </w:tblGrid>
      <w:tr>
        <w:trPr/>
        <w:tc>
          <w:tcPr>
            <w:tcW w:w="6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№ </w:t>
            </w:r>
            <w:r>
              <w:rPr>
                <w:rFonts w:cs="Arial" w:ascii="Arial" w:hAnsi="Arial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20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Перечень основных требований</w:t>
            </w:r>
          </w:p>
        </w:tc>
        <w:tc>
          <w:tcPr>
            <w:tcW w:w="6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Содержание </w:t>
              <w:br/>
              <w:t>требований</w:t>
            </w:r>
          </w:p>
        </w:tc>
      </w:tr>
      <w:tr>
        <w:trPr/>
        <w:tc>
          <w:tcPr>
            <w:tcW w:w="9315" w:type="dxa"/>
            <w:gridSpan w:val="3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B6D7A8" w:val="clear"/>
          </w:tcPr>
          <w:p>
            <w:pPr>
              <w:pStyle w:val="NormalWeb"/>
              <w:widowControl w:val="false"/>
              <w:spacing w:lineRule="auto" w:line="276" w:before="0" w:after="0"/>
              <w:ind w:firstLine="90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1. Общие и исходные данные</w:t>
            </w:r>
          </w:p>
        </w:tc>
      </w:tr>
      <w:tr>
        <w:trPr>
          <w:trHeight w:val="223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1.1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Полное наименование работ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Разработка проектно-сметной документации благоустройства общественной территории, расположенной на по адресу 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 проведением экспертизы проектной документации в части проверки достоверности определения сметной стоимости.</w:t>
            </w:r>
          </w:p>
        </w:tc>
      </w:tr>
      <w:tr>
        <w:trPr>
          <w:trHeight w:val="72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1.2.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объекта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51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1.3.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Вид строительства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Благоустройство</w:t>
            </w:r>
          </w:p>
        </w:tc>
      </w:tr>
      <w:tr>
        <w:trPr>
          <w:trHeight w:val="8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1.4.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Основание для проектирования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</w:t>
            </w:r>
          </w:p>
        </w:tc>
      </w:tr>
      <w:tr>
        <w:trPr>
          <w:trHeight w:val="72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1.5.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Сроки выполнения проектных работ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 рабочих дней с момента заключения контракта / договора.</w:t>
            </w:r>
          </w:p>
        </w:tc>
      </w:tr>
      <w:tr>
        <w:trPr>
          <w:trHeight w:val="72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1.6.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Источники финансиро-</w:t>
              <w:br/>
              <w:t>вания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96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1.7.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Стадийность проектирования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Стадия II. Проектно-сметная документация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Разработка проектно-сметной документации благоустройства территории проектирования.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Прохождение государственной экспертизы проектной документации в части проверки достоверности определения сметной стоимости.</w:t>
            </w:r>
          </w:p>
        </w:tc>
      </w:tr>
      <w:tr>
        <w:trPr>
          <w:trHeight w:val="471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1.8.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Исходные данные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Исходные данные, материалы, предоставляемые Заказчиком: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Эскизный проект благоустройства территории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расположения земельного участка на кадастровом плане территории муниципального образования _______________________________________________________________________________________________________________ с адресным ориентиром ___________________________________________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Отчет о социологических исследованиях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Общественное техническое задание, полученное в результате взаимодействия с жителями в формате проектного семинара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Иные материалы, имеющиеся в наличии муниципального образования по работе с данной территорией</w:t>
            </w:r>
          </w:p>
        </w:tc>
      </w:tr>
      <w:tr>
        <w:trPr>
          <w:trHeight w:val="145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1.9.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Описание участка и территории проектирования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Проектируемый объект расположен в Удмуртской Республике, ________________________________________ районе, МО «_________________________________________», территория ____________________________________ (По возможности дать указание на земельные участки, приложить схему территории)</w:t>
              <w:br/>
            </w:r>
          </w:p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Общая площадь территории проектирования ______ га.</w:t>
            </w:r>
          </w:p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530" w:hRule="atLeast"/>
        </w:trPr>
        <w:tc>
          <w:tcPr>
            <w:tcW w:w="9315" w:type="dxa"/>
            <w:gridSpan w:val="3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B6D7A8" w:val="clear"/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2. Основные требования к проектным решениям</w:t>
            </w:r>
          </w:p>
        </w:tc>
      </w:tr>
      <w:tr>
        <w:trPr>
          <w:trHeight w:val="174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2.1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Градостроительные требования (на основе утвержденной градостроительной документации).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Обеспечить соответствие проектных решений градостроительным требованиям и документации по территориальному планированию</w:t>
            </w:r>
          </w:p>
        </w:tc>
      </w:tr>
      <w:tr>
        <w:trPr>
          <w:trHeight w:val="174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2.2.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составу и содержанию выполняемых работ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Исполнитель самостоятельно и за свой счет проводит необходимые для проектирования градостроительный анализ, инженерные изыскания и другие исследования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454" w:hanging="3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Визуальный ландшафтный анализ территорий, изучение актуального состояния зеленых насаждений, определение возможностей рельефа, существующих и потенциальных ландшафтных трансформаций территорий;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454" w:hanging="3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Анализ окружающих территорий, планов их развития и определение потенциальных взаимодействий с территориями. Анализ существующих градостроительных и ограничительных регламентов;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454" w:hanging="3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Местоположение и состояние существующих технических коммуникаций, а также ограничений, накладываемых ими на территории;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454" w:hanging="3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Анализ транспортной и пешеходной схем с учетом существующих и перспективных потоков. Анализ ситуации с автостоянками и проездами.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454" w:hanging="3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Инженерно-геологические изыскания в объеме необходимом для проектирования.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</w:rPr>
              <w:t>. Разработка проектно-сметной документации благоустройства территории проектирования.</w:t>
            </w:r>
          </w:p>
          <w:p>
            <w:pPr>
              <w:pStyle w:val="NormalWeb"/>
              <w:widowControl w:val="false"/>
              <w:numPr>
                <w:ilvl w:val="0"/>
                <w:numId w:val="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Решения, принятые в Проектно-сметной документации, должны основываться и соответствовать Эскизному проекту.</w:t>
            </w:r>
          </w:p>
          <w:p>
            <w:pPr>
              <w:pStyle w:val="NormalWeb"/>
              <w:widowControl w:val="false"/>
              <w:numPr>
                <w:ilvl w:val="0"/>
                <w:numId w:val="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Решения, принятые в Проектной документации, должны обеспечивать соблюдение действующих на территории Российской Федерации нормативных правовых актов по обеспечению безопасности жизни и здоровья граждан, сохранению окружающей среды объектов культурного наследия, доступа маломобильных групп населения.</w:t>
            </w:r>
          </w:p>
          <w:p>
            <w:pPr>
              <w:pStyle w:val="NormalWeb"/>
              <w:widowControl w:val="false"/>
              <w:numPr>
                <w:ilvl w:val="0"/>
                <w:numId w:val="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Проектная документация разрабатывается в составе, утвержденном постановлением Правительства Российской Федерации от 16.02.2008 № 87 «О составе разделов проектной документации и требованиях к их содержанию».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Проектная документация содержит следующие разделы: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1.«Общая пояснительная записка».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Раздел 2. «Схема планировочной организации земельного участка». 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Ситуационный план в масштабе 1:2000 с линиями градостроительного регулирования и границами проектируемой территории.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планировочной организации земельного участка (генеральный план) в масштабе 1:500 с ведомостью покрытий, опор освещения, элементов озеленения и сводной ведомостью малых архитектурных форм и переносных конструкций.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демонтажа покрытий, существующих МАФ, дорожных знаков, инженерных сетей в масштабе 1:500.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Разбивочный чертеж на планировку (координатная привязка разбивочных базисов) в масштабе 1:500.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организации рельефа в масштабе 1:500.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земляных масс с картой фрезерования и выравнивания в масштабе 1:500 (с таблицей баланса земляных масс).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покрытий в масштабе 1:500 с ведомостью покрытий (не должен содержать решения с открытым грунтом).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с системой водоотведения в масштабе 1:500.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Конструкции дорожных одежд по типам покрытий в масштабе 1:25, принятые в соответствии с типовыми решениями или обоснованные расчетом.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Поперечные сечения по проездам и пешеходным дорожкам с размерами и высотными отметками.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Чертежи характерных профилей насыпей и выемок, индивидуальных профилей земляного полотна (при необходимости).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рисунка мощения и раскладки плитки в местах поворота, сужения тротуара, примыканий к территориям вне границ проектирования, сопряжения бортовых камней разной толщины, устройства пандусов, съездов, понижения бордюрного камня, узлы стыков всех дорожных покрытий, раскладка плитки со швами в масштабе 1:20.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организации дорожного движения и велодорожек включая схему установки дорожных знаков и схему дорожной разметки в масштабе 1:500.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размещения малых архитектурных форм и некапитальных строений в масштабе 1:500 с координатными привязками, включая ведомость с указанием изготовителя типовых МАФ и оборудования и ссылки на чертежи МАФ индивидуального изготовления и некапитальных строений, сооружений.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расстановки игрового и спортивного оборудования на детских и спортивных площадках с учетом зон безопасности.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Узлы обустройства/монтажа типовых МАФ, опор освещения, а также МАФ индивидуального изготовления и некапитальных строений, сооружений.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 посадки зеленых насаждений, подсыпку и засев газонов, цветочное оформление (схемы разбивки клумб).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План-схему наружного освещения и архитектурной подсветки 1:500, со спецификациями.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Сводный план инженерных сетей.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Изменение масштабов изображения и возможность совмещения чертежей согласовывается с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Раздел 3. «Архитектурные решения». 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Отображение фасадов, для всех предусмотренных Эскизным проектом некапитальных строений, сооружений со всех сторон М 1:25, 1:50, 1:100.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Цветовое решение фасадов, для всех предусмотренных Эскизным проектом некапитальных строений, сооружений.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Архитектурные решения нетиповых МАФ.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Аксонометрия или 3D-визуализация.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данные,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Изменение масштабов изображения и возможность совмещения чертежей согласовывается с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4. «Конструктивные и объемно-планировочные решения».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Архитектурно-строительные чертежи, в том числе монтажные и сборочные схемы, всех некапитальных строений, сооружений (планы, разрезы, фасады, конструкции, спецификации и аксонометрии, поясняющие конструкцию объекта и др. в объеме рабочей документации). Применяемые конструктивные решения должны отвечать требованиям, предъявляемым к некапитальным строениям, сооружениям – фундаменты сборные мелко заглублённые, плитные или винтовые сваи с возможностью переноса/демонтажа. Надземный конструктив легкий, сборный стальной или деревянный каркас на болтовых или других разборных соединениях с готовыми или сборными стеновыми панелями заводской готовности, либо модульное исполнение из укрупненных элементов.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Архитектурно-строительные чертежи всех нетиповых МАФ (сборочные чертежи, спецификации, аксонометрии и др. поясняющие конструкцию объекта в объеме рабочей документации).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Архитектурно-строительное задание для производителей на конструкции, элементы и детали, изготавливаемые в заводских условиях.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Разрезы, узлы, фрагменты следует выполнять в масштабе 1:5–1:50.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Изменение масштабов изображения и возможность совмещения чертежей согласовывается с Заказчиком.</w:t>
              <w:br/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в том числе: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Подраздел 5.1 «Система электроснабжения».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наружного и внутреннего электроснабжения электроприемников от основного, дополнительного и резервного источников электроснабжения всех строений, сооружений, предусмотренных актуализированной Концепцией, в том числе площадных объектов предназначенных для проведения массовых мероприятий (планы, схемы, спецификации и аксонометрии поясняющие принятые решения в объеме рабочей документации). Раздел должен включать так же решения по электроснабжению электрических отопительных приборов для отопления объектов, предусмотренных актуализированной Концепцией (в случае необходимости. Перечень объектов и электроприемников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сети освещения (планы, схемы, спецификации и аксонометрии поясняющие принятые решения в объеме рабочей документации). Подраздел должен предусматривать решения по наружному освещению, архитектурной подсветке и праздничному световому оформлению. Мощность светильников наружного освещения и частоту расположения опор определить светотехническим расчетом с учетом выделенных мощностей и утвержденных архитектурно-планировочных решений. Спецификация элементов освещения должна соответствовать актуализированной Концепции.</w:t>
            </w:r>
          </w:p>
          <w:p>
            <w:pPr>
              <w:pStyle w:val="NormalWeb"/>
              <w:widowControl w:val="false"/>
              <w:numPr>
                <w:ilvl w:val="0"/>
                <w:numId w:val="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 по перекладке (подключению), в том числе на нормативную глубину (расстояние) существующих абонентских/питающих сетей, расположенных в границах проектирования (в случае необходимости).</w:t>
            </w:r>
          </w:p>
          <w:p>
            <w:pPr>
              <w:pStyle w:val="NormalWeb"/>
              <w:widowControl w:val="false"/>
              <w:numPr>
                <w:ilvl w:val="0"/>
                <w:numId w:val="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Подраздел 5.2.</w:t>
            </w:r>
            <w:r>
              <w:rPr>
                <w:rFonts w:cs="Arial" w:ascii="Arial" w:hAnsi="Arial"/>
                <w:color w:val="000000"/>
              </w:rPr>
              <w:t xml:space="preserve"> «Система водоснабжения».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9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наружного и внутреннего водоснабжения строений, сооружений, предусмотренных актуализированной Концепцией (планы, схемы, спецификации и аксонометрии поясняющие принятые решения, в объеме рабочей документации). Перечень объектов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9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Систему полива растений, управляемую человеком (планы, схемы, спецификации и аксонометрии поясняющие принятые решения в объеме рабочей документации).</w:t>
            </w:r>
          </w:p>
          <w:p>
            <w:pPr>
              <w:pStyle w:val="NormalWeb"/>
              <w:widowControl w:val="false"/>
              <w:numPr>
                <w:ilvl w:val="0"/>
                <w:numId w:val="9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Подраздел 5.3.</w:t>
            </w:r>
            <w:r>
              <w:rPr>
                <w:rFonts w:cs="Arial" w:ascii="Arial" w:hAnsi="Arial"/>
                <w:color w:val="000000"/>
              </w:rPr>
              <w:t xml:space="preserve"> «Система водоотведения».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системы канализации и водоотведения некапитальных строений, сооружений, предусмотренных актуализированной Концепцией (планы, схемы, спецификации и аксонометрии поясняющие принятые решения в объеме рабочей документации). Перечень объектов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1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прокладки наружных сетей водоотведения, ливнестоков и дренажных вод (планы, схемы, спецификации и аксонометрии поясняющие принятые решения в объеме рабочей документации).</w:t>
            </w:r>
          </w:p>
          <w:p>
            <w:pPr>
              <w:pStyle w:val="NormalWeb"/>
              <w:widowControl w:val="false"/>
              <w:numPr>
                <w:ilvl w:val="0"/>
                <w:numId w:val="1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 по перекладке (переподключению), существующих сетей водоснабжения, расположенных в границах проектирования (в случае необходимости).</w:t>
            </w:r>
          </w:p>
          <w:p>
            <w:pPr>
              <w:pStyle w:val="NormalWeb"/>
              <w:widowControl w:val="false"/>
              <w:numPr>
                <w:ilvl w:val="0"/>
                <w:numId w:val="1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Подраздел 5.4.</w:t>
            </w:r>
            <w:r>
              <w:rPr>
                <w:rFonts w:cs="Arial" w:ascii="Arial" w:hAnsi="Arial"/>
                <w:color w:val="000000"/>
              </w:rPr>
              <w:t xml:space="preserve"> «Отопление, вентиляция и кондиционирование воздуха, тепловые сети».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1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Схемы систем отопления, вентиляции и кондиционирования воздуха некапитальных строений, сооружений, предусмотренных актуализированной Концепцией (планы, схемы, спецификации и аксонометрии поясняющие принятые решения в объеме рабочей документации). Раздел должен содержать решения по отоплению объектов электрическими приборами, а также решения по вентиляции и кондиционированию объектов в случае наличия нормативных требований. Перечень объектов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11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 по перекладке инженерных сетей на нормативное расстояние в соответствии с техническим решением на перекладку (при необходимости).</w:t>
            </w:r>
          </w:p>
          <w:p>
            <w:pPr>
              <w:pStyle w:val="NormalWeb"/>
              <w:widowControl w:val="false"/>
              <w:numPr>
                <w:ilvl w:val="0"/>
                <w:numId w:val="11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Подраздел 5.5.</w:t>
            </w:r>
            <w:r>
              <w:rPr>
                <w:rFonts w:cs="Arial" w:ascii="Arial" w:hAnsi="Arial"/>
                <w:color w:val="000000"/>
              </w:rPr>
              <w:t xml:space="preserve"> «Сети связи».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системы видеонаблюдения (планы, схемы, спецификации и аксонометрии, поясняющие принятые решения в объеме рабочей документации). Предусмотреть видеонаблюдение на всей проектируемой территории. Выведение сигналов с камер организовать в соответствии с техническими условиями. Камеры преимущественно располагать на проектируемых опорах освещения и при необходимости на проектируемых некапитальных строениях сооружениях. Цвет устанавливаемого оборудования (камер)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1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расположения розеток для зарядки мобильных устройств (планы, схемы, спецификации и аксонометрии, поясняющие принятые решения в объеме рабочей документации).</w:t>
            </w:r>
          </w:p>
          <w:p>
            <w:pPr>
              <w:pStyle w:val="NormalWeb"/>
              <w:widowControl w:val="false"/>
              <w:numPr>
                <w:ilvl w:val="0"/>
                <w:numId w:val="1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6. «Проект организации строительства».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Предельный срок выполнения работ по благоустройству не более _________дней.</w:t>
            </w:r>
          </w:p>
          <w:p>
            <w:pPr>
              <w:pStyle w:val="NormalWeb"/>
              <w:widowControl w:val="false"/>
              <w:numPr>
                <w:ilvl w:val="0"/>
                <w:numId w:val="1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Организация строительного производства с выделением очередей строительства (Согласовать с Заказчиком).</w:t>
            </w:r>
          </w:p>
          <w:p>
            <w:pPr>
              <w:pStyle w:val="NormalWeb"/>
              <w:widowControl w:val="false"/>
              <w:numPr>
                <w:ilvl w:val="0"/>
                <w:numId w:val="1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7.</w:t>
            </w:r>
            <w:r>
              <w:rPr>
                <w:rFonts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</w:rPr>
              <w:t>«Проект организации работ по сносу или демонтажу объектов капитального строительства».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разрабатывается в случае, если при разработке иных разделов выявлена необходимость сноса или демонтажа объектов капитального строительства.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8. «Мероприятия по обеспечению пожарной безопасности».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 (планы, схемы, спецификации и аксонометрии поясняющие принятые решения в объеме рабочей документации) по обеспечению пожарной безопасности всех объектов, предусмотренных актуализированной Концепцией.</w:t>
            </w:r>
          </w:p>
          <w:p>
            <w:pPr>
              <w:pStyle w:val="NormalWeb"/>
              <w:widowControl w:val="false"/>
              <w:numPr>
                <w:ilvl w:val="0"/>
                <w:numId w:val="1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9. «Мероприятия по обеспечению доступа инвалидов».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Текстовая и графические части разрабатываются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1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Решения (планы, схемы, узлы, спецификации и аксонометрии поясняющие принятые решения в объеме рабочей документации) по обеспечению доступа маломобильных групп населения ко всем объектам, предусмотренным актуализированной Концепцией, включая объекты улично-дорожной сети, площадные и объемные объекты, МАФ.</w:t>
            </w:r>
          </w:p>
          <w:p>
            <w:pPr>
              <w:pStyle w:val="NormalWeb"/>
              <w:widowControl w:val="false"/>
              <w:numPr>
                <w:ilvl w:val="0"/>
                <w:numId w:val="1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может содержать иные планы, схемы, чертежи и данные необходимые для благоустройства объекта «под ключ»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10. «Сметы».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 разрабатывается в соответствии с требованиями стандартов и нормативных правовых актов, действующих на территории Российской Федерации регулирующих вопросы состава и содержания документации и порядок ее оформления, а также требованиями настоящего Технического задания, в том числе:</w:t>
            </w:r>
          </w:p>
          <w:p>
            <w:pPr>
              <w:pStyle w:val="NormalWeb"/>
              <w:widowControl w:val="false"/>
              <w:numPr>
                <w:ilvl w:val="0"/>
                <w:numId w:val="2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В сметной документации предусмотреть выделение очередей строительства (Согласовать с Заказчиком).</w:t>
            </w:r>
          </w:p>
          <w:p>
            <w:pPr>
              <w:pStyle w:val="NormalWeb"/>
              <w:widowControl w:val="false"/>
              <w:numPr>
                <w:ilvl w:val="0"/>
                <w:numId w:val="2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Пояснительная записка.</w:t>
            </w:r>
          </w:p>
          <w:p>
            <w:pPr>
              <w:pStyle w:val="NormalWeb"/>
              <w:widowControl w:val="false"/>
              <w:numPr>
                <w:ilvl w:val="0"/>
                <w:numId w:val="2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Локальные и сводные сметные расчеты по всем видам работ и затрат, предусмотренных документацией в двух уровнях цен (базовый и текущий). Коэффициенты пересчёта в текущие цены, применяемые сметные нормативы, содержащие расценки на выполнение единичных строительных работ и т.п. должны соответствовать требованиям, установленным нормативными правовыми актами для прохождения экспертизы проектной документации в части достоверности определения сметной стоимости.</w:t>
            </w:r>
          </w:p>
          <w:p>
            <w:pPr>
              <w:pStyle w:val="NormalWeb"/>
              <w:widowControl w:val="false"/>
              <w:numPr>
                <w:ilvl w:val="0"/>
                <w:numId w:val="2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Дополнительные затраты (на непредвиденные работы и затраты, затраты на устройство временных зданий и сооружении, затраты на пусконаладочные работы, затраты на авторский надзор и строительный контроль и др.). Перечень и объем затрат согласовать с Заказчиком.</w:t>
            </w:r>
          </w:p>
          <w:p>
            <w:pPr>
              <w:pStyle w:val="NormalWeb"/>
              <w:widowControl w:val="false"/>
              <w:numPr>
                <w:ilvl w:val="0"/>
                <w:numId w:val="2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Документы (копии документов, оформленные в установленном порядке) в соответствии с требованиями, установленными нормативными правовыми актами для прохождения экспертизы проектной документации в части достоверности определения сметной стоимости.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</w:rPr>
              <w:t>II. Прохождение государственной экспертизы проектной документации в части проверки достоверности определения сметной стоимости.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Исполнитель самостоятельно и за свой счет получает положительное заключение государственной экспертизы проектной документации в части проверки достоверности определения сметной стоимости реализации проекта, в порядке установленном нормативными правовыми актами Российской Федерации, Удмуртской республики и другими документами, регулирующими вопросы проведения экспертизы проектной документации.</w:t>
            </w:r>
          </w:p>
        </w:tc>
      </w:tr>
      <w:tr>
        <w:trPr>
          <w:trHeight w:val="174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2.3.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Общие требования к проектным решениям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При разработке проекта учесть: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Результаты социологических исследований территории;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Общественное техническое задание, полученное в результате взаимодействия с жителями в формате проектного семинара;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Существующие технические ограничения территории проектирования (инженерные, транспортные и др.);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Моделирование видов деятельности с учетом потребностей населения;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Экономическая жизнеспособность и дальнейшая эксплуатация рекреационной зоны;</w:t>
            </w:r>
          </w:p>
          <w:p>
            <w:pPr>
              <w:pStyle w:val="NormalWeb"/>
              <w:widowControl w:val="false"/>
              <w:numPr>
                <w:ilvl w:val="0"/>
                <w:numId w:val="1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Гармоничная интеграция в окружающую среду с учетом сложившейся и вновь формируемой застройки территории.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Проектом предусмотреть: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Максимальное сохранение существующих зеленых насаждений;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Озеленение территории, определение видов зеленых насаждений и их размещение;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функциональных зон в соответствии со сценариями поведения. В том числе транзит, прогулка/созерцание природы, зоны обслуживания (общепит/туалеты), зоны для занятий спортом, зоны для игр с детьми, зоны тихого отдыха, событийная зона и другие площадки в соответствии с объектами размещения;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малых архитектурных форм, уличной мебели;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элементов оформления, дизайна и освещения территории;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Устройство специального типа покрытия в зоне пешеходных маршрутов;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Разделение пешеходных, велосипедных и транспортных маршрутов;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Создание доступной среды и универсального дизайна с учетом доступности маломобильных групп населения (в том числе: занижение бордюра, тактильная плитка, пандусы);</w:t>
            </w:r>
          </w:p>
          <w:p>
            <w:pPr>
              <w:pStyle w:val="NormalWeb"/>
              <w:widowControl w:val="false"/>
              <w:numPr>
                <w:ilvl w:val="0"/>
                <w:numId w:val="18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Иные требования (прописываются в случае пожеланий и определенной специфики территории).</w:t>
            </w:r>
          </w:p>
        </w:tc>
      </w:tr>
      <w:tr>
        <w:trPr>
          <w:trHeight w:val="35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12" w:after="1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2.4.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инженерным изысканиям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numPr>
                <w:ilvl w:val="0"/>
                <w:numId w:val="19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Инженерные изыскания и обследования проводятся Подрядчиком собственными силами в объеме, необходимом и достаточном для обоснования проектных решений. Подрядчик обязан оформить все необходимые разрешения на проведение изыскательских работ в соответствии с действующей нормативно-правовой базой.</w:t>
            </w:r>
          </w:p>
          <w:p>
            <w:pPr>
              <w:pStyle w:val="NormalWeb"/>
              <w:widowControl w:val="false"/>
              <w:numPr>
                <w:ilvl w:val="0"/>
                <w:numId w:val="19"/>
              </w:numPr>
              <w:spacing w:lineRule="auto" w:line="276" w:before="0" w:after="12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Инженерные изыскания выполняются в соответствии с разработанной Подрядчиком и утвержденной Заказчиком Программой инженерных изысканий.</w:t>
            </w:r>
          </w:p>
          <w:p>
            <w:pPr>
              <w:pStyle w:val="NormalWeb"/>
              <w:widowControl w:val="false"/>
              <w:numPr>
                <w:ilvl w:val="0"/>
                <w:numId w:val="19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Состав отчетов по инженерным изысканиям должны соответствовать положениям СП 47.13330.2016, а также СП 11-102-97. СП 11-103-97, СП 11-104-97, СП 11-105-97.</w:t>
            </w:r>
          </w:p>
        </w:tc>
      </w:tr>
      <w:tr>
        <w:trPr>
          <w:trHeight w:val="57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12" w:after="1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2.5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сметной документации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Выполнить в сметно-нормативной базе ценообразования 2001г. с пересчетом в текущий уровень цен, с применением индексов, действующих на момент составления сметной документации. Стоимость материалов обосновать по прайс-листам, либо другим подтверждающим документам.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 сметную документацию включить следующие прочие затраты:</w:t>
            </w:r>
          </w:p>
          <w:p>
            <w:pPr>
              <w:pStyle w:val="NormalWeb"/>
              <w:widowControl w:val="false"/>
              <w:numPr>
                <w:ilvl w:val="0"/>
                <w:numId w:val="2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затраты на проведение государственной экспертизы по определению достоверности сметной стоимости строительства;</w:t>
            </w:r>
          </w:p>
          <w:p>
            <w:pPr>
              <w:pStyle w:val="NormalWeb"/>
              <w:widowControl w:val="false"/>
              <w:numPr>
                <w:ilvl w:val="0"/>
                <w:numId w:val="2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затраты на проведение инвентаризации объекта благоустройства;</w:t>
            </w:r>
          </w:p>
          <w:p>
            <w:pPr>
              <w:pStyle w:val="NormalWeb"/>
              <w:widowControl w:val="false"/>
              <w:numPr>
                <w:ilvl w:val="0"/>
                <w:numId w:val="2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резерв средств на непредвиденные работы и затраты — 2%;</w:t>
            </w:r>
          </w:p>
          <w:p>
            <w:pPr>
              <w:pStyle w:val="NormalWeb"/>
              <w:widowControl w:val="false"/>
              <w:numPr>
                <w:ilvl w:val="0"/>
                <w:numId w:val="20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средства на покрытие затрат по уплате НДС — 18%.</w:t>
            </w:r>
          </w:p>
        </w:tc>
      </w:tr>
      <w:tr>
        <w:trPr>
          <w:trHeight w:val="628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сдаваемым материалам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Исполнитель предоставляет Заказчику следующие материалы: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По части </w:t>
            </w:r>
            <w:r>
              <w:rPr>
                <w:rFonts w:cs="Arial" w:ascii="Arial" w:hAnsi="Arial"/>
                <w:color w:val="000000"/>
              </w:rPr>
              <w:t>I. Разработка проектно-сметной документации территории проектирования:</w:t>
            </w:r>
          </w:p>
          <w:p>
            <w:pPr>
              <w:pStyle w:val="NormalWeb"/>
              <w:widowControl w:val="false"/>
              <w:numPr>
                <w:ilvl w:val="0"/>
                <w:numId w:val="21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>Материалы проектной документац</w:t>
            </w:r>
            <w:r>
              <w:rPr>
                <w:rFonts w:cs="Arial" w:ascii="Arial" w:hAnsi="Arial"/>
                <w:color w:val="000000"/>
              </w:rPr>
              <w:t>ии в следующем формате: альбом формата А3 в 4 (четырех) экземплярах в печатном виде и в 1 (одном) экземпляре на электронном носителе (в формате pdf, dwg) на USB-флэш носителе.</w:t>
            </w:r>
          </w:p>
          <w:p>
            <w:pPr>
              <w:pStyle w:val="NormalWeb"/>
              <w:widowControl w:val="false"/>
              <w:numPr>
                <w:ilvl w:val="0"/>
                <w:numId w:val="21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Сметная документация, включая сводные сметные расчеты и ведомость объемов конструктивных решений (элементов) и комплексов (видов) работ в следующем формате: альбом в 4 (четырех) экземплярах </w:t>
            </w:r>
            <w:r>
              <w:rPr>
                <w:rFonts w:cs="Arial" w:ascii="Arial" w:hAnsi="Arial"/>
                <w:color w:val="00000A"/>
              </w:rPr>
              <w:t>в печатном виде и в 1 (одном) экземпляре на электронном носителе (в любом из форматов xls, xlsx, xml) на USB-флэш носителе.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По части II. </w:t>
            </w:r>
            <w:r>
              <w:rPr>
                <w:rFonts w:cs="Arial" w:ascii="Arial" w:hAnsi="Arial"/>
                <w:color w:val="000000"/>
              </w:rPr>
              <w:t>Прохождение государственной экспертизы проектной документации в части проверки достоверности определения сметной стоимости</w:t>
            </w:r>
            <w:r>
              <w:rPr>
                <w:rFonts w:cs="Arial" w:ascii="Arial" w:hAnsi="Arial"/>
                <w:color w:val="00000A"/>
              </w:rPr>
              <w:t>:</w:t>
            </w:r>
          </w:p>
          <w:p>
            <w:pPr>
              <w:pStyle w:val="NormalWeb"/>
              <w:widowControl w:val="false"/>
              <w:numPr>
                <w:ilvl w:val="0"/>
                <w:numId w:val="21"/>
              </w:numPr>
              <w:spacing w:lineRule="auto" w:line="276" w:before="0" w:after="0"/>
              <w:ind w:left="454" w:hanging="283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Оригинал </w:t>
            </w:r>
            <w:r>
              <w:rPr>
                <w:rFonts w:cs="Arial" w:ascii="Arial" w:hAnsi="Arial"/>
                <w:b/>
                <w:bCs/>
                <w:color w:val="00000A"/>
              </w:rPr>
              <w:t>положительного</w:t>
            </w:r>
            <w:r>
              <w:rPr>
                <w:rFonts w:cs="Arial" w:ascii="Arial" w:hAnsi="Arial"/>
                <w:color w:val="00000A"/>
              </w:rPr>
              <w:t xml:space="preserve"> заключения о достоверности определения сметной стоимости на бумажном носителе.</w:t>
            </w:r>
          </w:p>
          <w:p>
            <w:pPr>
              <w:pStyle w:val="NormalWeb"/>
              <w:widowControl w:val="false"/>
              <w:numPr>
                <w:ilvl w:val="0"/>
                <w:numId w:val="21"/>
              </w:numPr>
              <w:spacing w:lineRule="auto" w:line="276" w:before="0" w:after="0"/>
              <w:ind w:left="454" w:hanging="283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>Все направляемые материалы в электронном виде должны открываться без помех и без ссылок на внешние объекты (таблицы, рисунки, программы), которые не включены в проект.</w:t>
            </w:r>
          </w:p>
        </w:tc>
      </w:tr>
      <w:tr>
        <w:trPr>
          <w:trHeight w:val="980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Гарантийные обязанности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Гарантийный срок устанавливается сроком _______ лет с даты передачи результатов работ Заказчику (с даты подписания акта сдачи-приемки всего объема выполненных работ). Все отступления от действующих норм и правил, обнаруженные в результате работ устраняются Исполнителем за свой счет.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 объем гарантийных обязательств входят:</w:t>
            </w:r>
          </w:p>
          <w:p>
            <w:pPr>
              <w:pStyle w:val="NormalWeb"/>
              <w:widowControl w:val="false"/>
              <w:numPr>
                <w:ilvl w:val="0"/>
                <w:numId w:val="2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устранение опечаток, ошибок в переданных материалах;</w:t>
            </w:r>
          </w:p>
          <w:p>
            <w:pPr>
              <w:pStyle w:val="NormalWeb"/>
              <w:widowControl w:val="false"/>
              <w:numPr>
                <w:ilvl w:val="0"/>
                <w:numId w:val="2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предоставление устных и письменных консультаций, рекомендаций и разъяснений, а также иной информации, касающейся результатов работы.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Исполнитель несет ответственность за ненадлежащее выполнение работ. При обнаружении недостатков Исполнитель по требованию Заказчика обязан безвозмездно откорректировать документацию, а также возместить Заказчику причиненные убытки в сроки, согласованные Сторонами и зафиксированные в акте с перечнем выявленных недостатков.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Подрядчик в течение всего гарантийного срока обязан хранить на своих серверных ресурсах результаты работы, сданные Заказчику, и другие необходимые данные, сформированные в ходе выполнения работ.</w:t>
            </w:r>
          </w:p>
        </w:tc>
      </w:tr>
      <w:tr>
        <w:trPr>
          <w:trHeight w:val="2030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5.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Права на РИД</w:t>
            </w:r>
          </w:p>
        </w:tc>
        <w:tc>
          <w:tcPr>
            <w:tcW w:w="66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Одновременно с передачей результата выполнения работ по настоящему Техническому заданию к Заказчику переходит исключительное право на использование возникших в результате исполнения работ результатов интеллектуальной деятельности, включая (но не ограничиваясь) распространение, публичный показ, практическую реализацию и доведение до всеобщего сведения, с правом привлечения для этого любых третьих лиц.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Стоимость передаваемых Исполнителем Заказчику прав на результаты интеллектуальной деятельности, возникшие при выполнении работ по Договору входит в цену Договора.</w:t>
            </w:r>
          </w:p>
        </w:tc>
      </w:tr>
    </w:tbl>
    <w:p>
      <w:pPr>
        <w:pStyle w:val="NormalWeb"/>
        <w:shd w:val="clear" w:color="auto" w:fill="FFFFFF"/>
        <w:spacing w:lineRule="auto" w:line="276" w:before="12" w:after="0"/>
        <w:rPr>
          <w:rFonts w:ascii="Arial" w:hAnsi="Arial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1440" w:header="0" w:top="1440" w:footer="720" w:bottom="1440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  <w:lang w:val="ru-RU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libri" w:hAnsi="Calibri"/>
      <w:i/>
      <w:iCs/>
      <w:color w:val="243F60"/>
    </w:rPr>
  </w:style>
  <w:style w:type="paragraph" w:styleId="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Times New Roman" w:hAnsi="Times New Roman"/>
      <w:b/>
      <w:color w:val="272727"/>
      <w:sz w:val="40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Times New Roman" w:hAnsi="Times New Roman"/>
      <w:b/>
      <w:iCs/>
      <w:color w:val="272727"/>
      <w:sz w:val="32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qFormat/>
    <w:rPr>
      <w:rFonts w:ascii="Calibri" w:hAnsi="Calibri" w:eastAsia="Arial" w:cs="Arial"/>
      <w:i/>
      <w:iCs/>
      <w:color w:val="243F60"/>
    </w:rPr>
  </w:style>
  <w:style w:type="character" w:styleId="Style5" w:customStyle="1">
    <w:name w:val="Текст примечания Знак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6" w:customStyle="1">
    <w:name w:val="Интернет-ссылка"/>
    <w:basedOn w:val="DefaultParagraphFont"/>
    <w:rPr>
      <w:color w:val="0000FF"/>
      <w:u w:val="single"/>
    </w:rPr>
  </w:style>
  <w:style w:type="character" w:styleId="Style7" w:customStyle="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81" w:customStyle="1">
    <w:name w:val="Заголовок 8 Знак"/>
    <w:basedOn w:val="DefaultParagraphFont"/>
    <w:qFormat/>
    <w:rPr>
      <w:rFonts w:ascii="Times New Roman" w:hAnsi="Times New Roman" w:eastAsia="Arial" w:cs="Arial"/>
      <w:b/>
      <w:color w:val="272727"/>
      <w:sz w:val="40"/>
      <w:szCs w:val="21"/>
    </w:rPr>
  </w:style>
  <w:style w:type="character" w:styleId="91" w:customStyle="1">
    <w:name w:val="Заголовок 9 Знак"/>
    <w:basedOn w:val="DefaultParagraphFont"/>
    <w:qFormat/>
    <w:rPr>
      <w:rFonts w:ascii="Times New Roman" w:hAnsi="Times New Roman" w:eastAsia="Arial" w:cs="Arial"/>
      <w:b/>
      <w:iCs/>
      <w:color w:val="272727"/>
      <w:sz w:val="32"/>
      <w:szCs w:val="21"/>
    </w:rPr>
  </w:style>
  <w:style w:type="character" w:styleId="SubtleEmphasis">
    <w:name w:val="Subtle Emphasis"/>
    <w:basedOn w:val="Style8"/>
    <w:qFormat/>
    <w:rPr>
      <w:rFonts w:ascii="Times New Roman" w:hAnsi="Times New Roman"/>
      <w:b/>
      <w:i w:val="false"/>
      <w:iCs w:val="false"/>
      <w:color w:val="000000"/>
      <w:sz w:val="28"/>
    </w:rPr>
  </w:style>
  <w:style w:type="character" w:styleId="Style8">
    <w:name w:val="Выделение"/>
    <w:basedOn w:val="DefaultParagraphFont"/>
    <w:qFormat/>
    <w:rPr>
      <w:rFonts w:ascii="Times New Roman" w:hAnsi="Times New Roman"/>
      <w:i/>
      <w:iCs/>
      <w:sz w:val="2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21" w:customStyle="1">
    <w:name w:val="Цитата 2 Знак"/>
    <w:basedOn w:val="DefaultParagraphFont"/>
    <w:qFormat/>
    <w:rPr>
      <w:i/>
      <w:iCs/>
      <w:color w:val="404040"/>
    </w:rPr>
  </w:style>
  <w:style w:type="character" w:styleId="Style9" w:customStyle="1">
    <w:name w:val="Выделенная цитата Знак"/>
    <w:basedOn w:val="DefaultParagraphFont"/>
    <w:qFormat/>
    <w:rPr>
      <w:i/>
      <w:iCs/>
      <w:color w:val="4F81BD"/>
    </w:rPr>
  </w:style>
  <w:style w:type="character" w:styleId="Style10" w:customStyle="1">
    <w:name w:val="Заголовочный Знак"/>
    <w:basedOn w:val="81"/>
    <w:qFormat/>
    <w:rPr>
      <w:rFonts w:ascii="Times New Roman" w:hAnsi="Times New Roman" w:eastAsia="Arial" w:cs="Times New Roman"/>
      <w:b/>
      <w:color w:val="272727"/>
      <w:sz w:val="28"/>
      <w:szCs w:val="32"/>
    </w:rPr>
  </w:style>
  <w:style w:type="character" w:styleId="IntenseEmphasis">
    <w:name w:val="Intense Emphasis"/>
    <w:basedOn w:val="DefaultParagraphFont"/>
    <w:qFormat/>
    <w:rPr>
      <w:i/>
      <w:iCs/>
      <w:color w:val="4F81BD"/>
    </w:rPr>
  </w:style>
  <w:style w:type="character" w:styleId="Style11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023d4"/>
    <w:rPr>
      <w:vertAlign w:val="superscript"/>
    </w:rPr>
  </w:style>
  <w:style w:type="character" w:styleId="Appletabspan" w:customStyle="1">
    <w:name w:val="apple-tab-span"/>
    <w:basedOn w:val="DefaultParagraphFont"/>
    <w:qFormat/>
    <w:rPr/>
  </w:style>
  <w:style w:type="character" w:styleId="Style13" w:customStyle="1">
    <w:name w:val="Тема примечания Знак"/>
    <w:basedOn w:val="Style5"/>
    <w:qFormat/>
    <w:rPr>
      <w:b/>
      <w:bCs/>
      <w:sz w:val="20"/>
      <w:szCs w:val="20"/>
    </w:rPr>
  </w:style>
  <w:style w:type="character" w:styleId="Style14" w:customStyle="1">
    <w:name w:val="Символ сноски"/>
    <w:qFormat/>
    <w:rPr/>
  </w:style>
  <w:style w:type="character" w:styleId="Style15" w:customStyle="1">
    <w:name w:val="Маркеры"/>
    <w:qFormat/>
    <w:rPr>
      <w:rFonts w:ascii="Arial" w:hAnsi="Arial" w:eastAsia="OpenSymbol" w:cs="OpenSymbol"/>
      <w:sz w:val="32"/>
      <w:szCs w:val="32"/>
      <w:lang w:val="ru-RU"/>
    </w:rPr>
  </w:style>
  <w:style w:type="character" w:styleId="Style16" w:customStyle="1">
    <w:name w:val="Символ нумерации"/>
    <w:qFormat/>
    <w:rPr>
      <w:rFonts w:ascii="Arial" w:hAnsi="Arial"/>
      <w:b w:val="false"/>
      <w:bCs w:val="false"/>
      <w:i w:val="false"/>
      <w:iCs w:val="false"/>
      <w:sz w:val="24"/>
      <w:szCs w:val="24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character" w:styleId="Style19" w:customStyle="1">
    <w:name w:val="Верхний колонтитул Знак"/>
    <w:basedOn w:val="DefaultParagraphFont"/>
    <w:link w:val="affa"/>
    <w:uiPriority w:val="99"/>
    <w:qFormat/>
    <w:rsid w:val="00a75f32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6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TOCHeading">
    <w:name w:val="TOC Heading"/>
    <w:basedOn w:val="1"/>
    <w:next w:val="Normal"/>
    <w:qFormat/>
    <w:pPr>
      <w:spacing w:lineRule="auto" w:line="259" w:before="240" w:after="0"/>
    </w:pPr>
    <w:rPr>
      <w:rFonts w:ascii="Times New Roman" w:hAnsi="Times New Roman"/>
      <w:sz w:val="28"/>
      <w:szCs w:val="32"/>
      <w:lang w:val="ru-RU"/>
    </w:rPr>
  </w:style>
  <w:style w:type="paragraph" w:styleId="11">
    <w:name w:val="TOC 1"/>
    <w:basedOn w:val="Normal"/>
    <w:next w:val="Normal"/>
    <w:autoRedefine/>
    <w:pPr>
      <w:spacing w:before="0" w:after="100"/>
    </w:pPr>
    <w:rPr/>
  </w:style>
  <w:style w:type="paragraph" w:styleId="22">
    <w:name w:val="TOC 2"/>
    <w:basedOn w:val="Normal"/>
    <w:next w:val="Normal"/>
    <w:autoRedefine/>
    <w:pPr>
      <w:spacing w:before="0" w:after="100"/>
      <w:ind w:left="220" w:hanging="0"/>
    </w:pPr>
    <w:rPr/>
  </w:style>
  <w:style w:type="paragraph" w:styleId="31">
    <w:name w:val="TOC 3"/>
    <w:basedOn w:val="Normal"/>
    <w:next w:val="Normal"/>
    <w:autoRedefine/>
    <w:pPr>
      <w:spacing w:before="0" w:after="100"/>
      <w:ind w:left="440" w:hanging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/>
    </w:rPr>
  </w:style>
  <w:style w:type="paragraph" w:styleId="Style27" w:customStyle="1">
    <w:name w:val="Заголовочный"/>
    <w:basedOn w:val="8"/>
    <w:qFormat/>
    <w:pPr/>
    <w:rPr>
      <w:rFonts w:cs="Times New Roman"/>
      <w:sz w:val="28"/>
      <w:szCs w:val="32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28">
    <w:name w:val="Footnote Text"/>
    <w:basedOn w:val="Normal"/>
    <w:uiPriority w:val="99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Footer"/>
    <w:basedOn w:val="Style29"/>
    <w:pPr/>
    <w:rPr/>
  </w:style>
  <w:style w:type="paragraph" w:styleId="Style31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Style32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3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>
    <w:name w:val="Header"/>
    <w:basedOn w:val="Normal"/>
    <w:link w:val="affb"/>
    <w:uiPriority w:val="99"/>
    <w:unhideWhenUsed/>
    <w:rsid w:val="00a75f32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12" w:customStyle="1">
    <w:name w:val="Обычный1"/>
    <w:qFormat/>
    <w:rsid w:val="000023d4"/>
    <w:pPr>
      <w:widowControl/>
      <w:suppressAutoHyphens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59"/>
    <w:rsid w:val="000023d4"/>
    <w:rPr>
      <w:rFonts w:asciiTheme="minorHAnsi" w:hAnsiTheme="minorHAnsi" w:eastAsiaTheme="minorHAnsi" w:cstheme="minorBidi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F68E-B576-4D5A-821D-9FD404E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18</Pages>
  <Words>3149</Words>
  <Characters>24292</Characters>
  <CharactersWithSpaces>27140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2022-06-17T02:08:00Z</dcterms:created>
  <dc:creator>Xiaomi</dc:creator>
  <dc:description/>
  <dc:language>ru-RU</dc:language>
  <cp:lastModifiedBy/>
  <cp:lastPrinted>2022-06-16T08:26:00Z</cp:lastPrinted>
  <dcterms:modified xsi:type="dcterms:W3CDTF">2022-06-21T08:33:51Z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